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3A71A6A6"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6C21FB">
        <w:rPr>
          <w:rFonts w:asciiTheme="majorHAnsi" w:hAnsiTheme="majorHAnsi" w:cs="MyriadPro-Black"/>
          <w:caps/>
          <w:color w:val="A6A6A6"/>
          <w:sz w:val="40"/>
          <w:szCs w:val="40"/>
        </w:rPr>
        <w:t>9</w:t>
      </w:r>
      <w:r w:rsidR="00172699">
        <w:rPr>
          <w:rFonts w:asciiTheme="majorHAnsi" w:hAnsiTheme="majorHAnsi" w:cs="MyriadPro-Black"/>
          <w:caps/>
          <w:color w:val="A6A6A6"/>
          <w:sz w:val="40"/>
          <w:szCs w:val="40"/>
        </w:rPr>
        <w:t>9</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668418C6"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26A91" w:rsidRPr="00026A91">
        <w:rPr>
          <w:rFonts w:asciiTheme="majorHAnsi" w:hAnsiTheme="majorHAnsi" w:cs="MyriadPro-Black"/>
          <w:caps/>
          <w:sz w:val="40"/>
          <w:szCs w:val="40"/>
        </w:rPr>
        <w:t>6</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0CEEC599"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pLATNOS</w:t>
      </w:r>
      <w:r w:rsidRPr="006A39E2">
        <w:rPr>
          <w:rFonts w:asciiTheme="majorHAnsi" w:hAnsiTheme="majorHAnsi" w:cs="MyriadPro-Black"/>
          <w:caps/>
          <w:sz w:val="32"/>
          <w:szCs w:val="40"/>
        </w:rPr>
        <w:t xml:space="preserve">T OD </w:t>
      </w:r>
      <w:r w:rsidR="008B0E9E">
        <w:rPr>
          <w:rFonts w:asciiTheme="majorHAnsi" w:hAnsiTheme="majorHAnsi" w:cs="MyriadPro-Black"/>
          <w:caps/>
          <w:sz w:val="32"/>
          <w:szCs w:val="40"/>
        </w:rPr>
        <w:t>22</w:t>
      </w:r>
      <w:r w:rsidR="00985DE7" w:rsidRPr="006A39E2">
        <w:rPr>
          <w:rFonts w:asciiTheme="majorHAnsi" w:hAnsiTheme="majorHAnsi" w:cs="MyriadPro-Black"/>
          <w:caps/>
          <w:sz w:val="32"/>
          <w:szCs w:val="40"/>
        </w:rPr>
        <w:t xml:space="preserve">. </w:t>
      </w:r>
      <w:r w:rsidR="008B0E9E">
        <w:rPr>
          <w:rFonts w:asciiTheme="majorHAnsi" w:hAnsiTheme="majorHAnsi" w:cs="MyriadPro-Black"/>
          <w:caps/>
          <w:sz w:val="32"/>
          <w:szCs w:val="40"/>
        </w:rPr>
        <w:t>7</w:t>
      </w:r>
      <w:bookmarkStart w:id="5" w:name="_GoBack"/>
      <w:bookmarkEnd w:id="5"/>
      <w:r w:rsidR="00A63DDD" w:rsidRPr="006A39E2">
        <w:rPr>
          <w:rFonts w:asciiTheme="majorHAnsi" w:hAnsiTheme="majorHAnsi" w:cs="MyriadPro-Black"/>
          <w:caps/>
          <w:sz w:val="32"/>
          <w:szCs w:val="40"/>
        </w:rPr>
        <w:t>.</w:t>
      </w:r>
      <w:r w:rsidR="0044271A" w:rsidRPr="006A39E2">
        <w:rPr>
          <w:rFonts w:asciiTheme="majorHAnsi" w:hAnsiTheme="majorHAnsi" w:cs="MyriadPro-Black"/>
          <w:caps/>
          <w:sz w:val="32"/>
          <w:szCs w:val="40"/>
        </w:rPr>
        <w:t xml:space="preserve"> 20</w:t>
      </w:r>
      <w:r w:rsidR="006C21FB" w:rsidRPr="006A39E2">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proofErr w:type="gramStart"/>
      <w:r w:rsidR="006D0EC8" w:rsidRPr="00C669A5">
        <w:rPr>
          <w:rFonts w:asciiTheme="minorHAnsi" w:hAnsiTheme="minorHAnsi"/>
          <w:bCs/>
          <w:sz w:val="24"/>
          <w:szCs w:val="24"/>
        </w:rPr>
        <w:t>č.j.</w:t>
      </w:r>
      <w:proofErr w:type="gramEnd"/>
      <w:r w:rsidR="006D0EC8" w:rsidRPr="00C669A5">
        <w:rPr>
          <w:rFonts w:asciiTheme="minorHAnsi" w:hAnsiTheme="minorHAnsi"/>
          <w:bCs/>
          <w:sz w:val="24"/>
          <w:szCs w:val="24"/>
        </w:rPr>
        <w:t xml:space="preserve"> </w:t>
      </w:r>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10065" w:type="dxa"/>
        <w:tblInd w:w="-431" w:type="dxa"/>
        <w:tblCellMar>
          <w:left w:w="70" w:type="dxa"/>
          <w:right w:w="70" w:type="dxa"/>
        </w:tblCellMar>
        <w:tblLook w:val="04A0" w:firstRow="1" w:lastRow="0" w:firstColumn="1" w:lastColumn="0" w:noHBand="0" w:noVBand="1"/>
      </w:tblPr>
      <w:tblGrid>
        <w:gridCol w:w="3386"/>
        <w:gridCol w:w="6679"/>
      </w:tblGrid>
      <w:tr w:rsidR="00220DDF" w:rsidRPr="00C669A5" w14:paraId="48207C6A" w14:textId="77777777" w:rsidTr="006A39E2">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679"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679"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679"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679"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A18D70A" w14:textId="77777777" w:rsidR="006A39E2" w:rsidRDefault="006A39E2" w:rsidP="00220DDF">
      <w:pPr>
        <w:widowControl w:val="0"/>
        <w:spacing w:after="120"/>
        <w:ind w:right="180"/>
        <w:rPr>
          <w:rFonts w:asciiTheme="minorHAnsi" w:hAnsiTheme="minorHAnsi"/>
          <w:snapToGrid w:val="0"/>
        </w:rPr>
      </w:pPr>
    </w:p>
    <w:p w14:paraId="7B09DAFD" w14:textId="34C6CFA6"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641"/>
      </w:tblGrid>
      <w:tr w:rsidR="00B351F5" w:rsidRPr="00C669A5" w14:paraId="7E395691" w14:textId="77777777" w:rsidTr="006A39E2">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641"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6A39E2">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641"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6A39E2">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641"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6A39E2">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641"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6A39E2">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641"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6A39E2">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641"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lastRenderedPageBreak/>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006A39E2">
        <w:trPr>
          <w:trHeight w:val="416"/>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w:t>
            </w:r>
            <w:r w:rsidRPr="00C669A5">
              <w:rPr>
                <w:rFonts w:asciiTheme="minorHAnsi" w:hAnsiTheme="minorHAnsi"/>
                <w:snapToGrid w:val="0"/>
                <w:sz w:val="22"/>
                <w:szCs w:val="22"/>
              </w:rPr>
              <w:lastRenderedPageBreak/>
              <w:t xml:space="preserve">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006A39E2">
        <w:trPr>
          <w:trHeight w:val="1124"/>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lastRenderedPageBreak/>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xml:space="preserve">, ve </w:t>
            </w:r>
            <w:r w:rsidR="612442DA" w:rsidRPr="253D0146">
              <w:rPr>
                <w:rFonts w:asciiTheme="minorHAnsi" w:hAnsiTheme="minorHAnsi" w:cstheme="minorBidi"/>
                <w:sz w:val="22"/>
                <w:szCs w:val="22"/>
                <w:lang w:eastAsia="ar-SA"/>
              </w:rPr>
              <w:lastRenderedPageBreak/>
              <w:t>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lastRenderedPageBreak/>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 xml:space="preserve">bude dotace krácena o 1 % schválené výše dotace </w:t>
            </w:r>
            <w:r w:rsidRPr="253D0146">
              <w:rPr>
                <w:rFonts w:asciiTheme="minorHAnsi" w:hAnsiTheme="minorHAnsi"/>
                <w:snapToGrid w:val="0"/>
                <w:sz w:val="22"/>
                <w:szCs w:val="22"/>
              </w:rPr>
              <w:lastRenderedPageBreak/>
              <w:t>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0D360754"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Pr="253D0146">
              <w:rPr>
                <w:rFonts w:asciiTheme="minorHAnsi" w:hAnsiTheme="minorHAnsi"/>
                <w:snapToGrid w:val="0"/>
                <w:sz w:val="22"/>
                <w:szCs w:val="22"/>
              </w:rPr>
              <w:t>, maximálně však o 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finanční a termínové změny, </w:t>
            </w:r>
            <w:r w:rsidRPr="00C669A5">
              <w:rPr>
                <w:rFonts w:asciiTheme="minorHAnsi" w:hAnsiTheme="minorHAnsi"/>
                <w:snapToGrid w:val="0"/>
                <w:sz w:val="22"/>
                <w:szCs w:val="22"/>
              </w:rPr>
              <w:lastRenderedPageBreak/>
              <w:t>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4539F8C4" w14:textId="156D2A16"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Pr="4BD29531">
              <w:rPr>
                <w:rFonts w:asciiTheme="minorHAnsi" w:hAnsiTheme="minorHAnsi"/>
                <w:snapToGrid w:val="0"/>
                <w:sz w:val="22"/>
                <w:szCs w:val="22"/>
              </w:rPr>
              <w:t>o 10 000,- 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 xml:space="preserve">218/2000 Sb., </w:t>
            </w:r>
            <w:r w:rsidRPr="253D0146">
              <w:rPr>
                <w:rFonts w:asciiTheme="minorHAnsi" w:hAnsiTheme="minorHAnsi" w:cstheme="minorBidi"/>
                <w:sz w:val="22"/>
                <w:szCs w:val="22"/>
                <w:lang w:eastAsia="ar-SA"/>
              </w:rPr>
              <w:lastRenderedPageBreak/>
              <w:t>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lastRenderedPageBreak/>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w:t>
            </w:r>
            <w:r w:rsidRPr="34955BD5">
              <w:rPr>
                <w:rFonts w:asciiTheme="minorHAnsi" w:hAnsiTheme="minorHAnsi" w:cstheme="minorBidi"/>
                <w:sz w:val="22"/>
                <w:szCs w:val="22"/>
                <w:lang w:eastAsia="ar-SA"/>
              </w:rPr>
              <w:lastRenderedPageBreak/>
              <w:t>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lastRenderedPageBreak/>
              <w:t>8</w:t>
            </w:r>
            <w:r w:rsidR="00624FEE" w:rsidRPr="00C669A5">
              <w:rPr>
                <w:rFonts w:asciiTheme="minorHAnsi" w:hAnsiTheme="minorHAnsi"/>
                <w:sz w:val="22"/>
                <w:szCs w:val="22"/>
              </w:rPr>
              <w:t>.</w:t>
            </w:r>
          </w:p>
        </w:tc>
        <w:tc>
          <w:tcPr>
            <w:tcW w:w="3650" w:type="dxa"/>
          </w:tcPr>
          <w:p w14:paraId="16E8440F" w14:textId="3AC67E2C"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prokázat, že indikátory </w:t>
            </w:r>
            <w:r w:rsidR="11CB2BAF" w:rsidRPr="253D0146">
              <w:rPr>
                <w:rFonts w:asciiTheme="minorHAnsi" w:hAnsiTheme="minorHAnsi"/>
                <w:snapToGrid w:val="0"/>
                <w:sz w:val="22"/>
                <w:szCs w:val="22"/>
              </w:rPr>
              <w:t xml:space="preserve">I. - III. </w:t>
            </w:r>
            <w:r w:rsidRPr="253D0146">
              <w:rPr>
                <w:rFonts w:asciiTheme="minorHAnsi" w:hAnsiTheme="minorHAnsi"/>
                <w:snapToGrid w:val="0"/>
                <w:sz w:val="22"/>
                <w:szCs w:val="22"/>
              </w:rPr>
              <w:t>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r w:rsidR="0F55B322" w:rsidRPr="253D0146">
              <w:rPr>
                <w:rFonts w:asciiTheme="minorHAnsi" w:hAnsiTheme="minorHAnsi"/>
                <w:snapToGrid w:val="0"/>
                <w:sz w:val="22"/>
                <w:szCs w:val="22"/>
              </w:rPr>
              <w:t xml:space="preserve"> Naplnění indikátorů IV.  je příjemce povinen vykázat nejpozději při podání první zprávy o udržitelnosti</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DDDF48E" w14:textId="017049F5" w:rsidR="4A097A7C" w:rsidRPr="00026A91" w:rsidRDefault="4ECC107C" w:rsidP="34955BD5">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179CF9BB" w:rsidRPr="2920B9B6">
              <w:rPr>
                <w:rFonts w:asciiTheme="minorHAnsi" w:hAnsiTheme="minorHAnsi"/>
                <w:b/>
                <w:bCs/>
                <w:snapToGrid w:val="0"/>
                <w:sz w:val="22"/>
                <w:szCs w:val="22"/>
              </w:rPr>
              <w:t>9</w:t>
            </w:r>
            <w:r w:rsidRPr="2920B9B6">
              <w:rPr>
                <w:rFonts w:asciiTheme="minorHAnsi" w:hAnsiTheme="minorHAnsi"/>
                <w:b/>
                <w:bCs/>
                <w:snapToGrid w:val="0"/>
                <w:sz w:val="22"/>
                <w:szCs w:val="22"/>
              </w:rPr>
              <w:t xml:space="preserve">308 (CV8) </w:t>
            </w:r>
            <w:r w:rsidRPr="34955BD5">
              <w:rPr>
                <w:rFonts w:asciiTheme="minorHAnsi" w:hAnsiTheme="minorHAnsi"/>
                <w:snapToGrid w:val="0"/>
                <w:sz w:val="22"/>
                <w:szCs w:val="22"/>
              </w:rPr>
              <w:t>- Nově vytvořená lůžka pro pacienty s COVID</w:t>
            </w:r>
            <w:r w:rsidR="73F2CE1E" w:rsidRPr="2920B9B6">
              <w:rPr>
                <w:rFonts w:asciiTheme="minorHAnsi" w:hAnsiTheme="minorHAnsi"/>
                <w:sz w:val="22"/>
                <w:szCs w:val="22"/>
              </w:rPr>
              <w:t>-</w:t>
            </w:r>
            <w:r w:rsidRPr="34955BD5">
              <w:rPr>
                <w:rFonts w:asciiTheme="minorHAnsi" w:hAnsiTheme="minorHAnsi"/>
                <w:snapToGrid w:val="0"/>
                <w:sz w:val="22"/>
                <w:szCs w:val="22"/>
              </w:rPr>
              <w:t>19,</w:t>
            </w:r>
          </w:p>
          <w:p w14:paraId="461FCD8E" w14:textId="0725123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496B085C" w14:textId="43A1104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5CFB1C8D"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0A0B9C8B" w:rsidR="004F2303" w:rsidRPr="002D57AB" w:rsidRDefault="004F230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Nenaplnění resp. překročení cílové hodnoty indikátor</w:t>
            </w:r>
            <w:r w:rsidR="695F980E"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686ED543"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686ED543"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F3A884" w14:textId="11A32D52" w:rsidR="2722B93C" w:rsidRPr="00026A91" w:rsidRDefault="0F6734A8" w:rsidP="34955BD5">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673AEBDA" w:rsidRPr="2920B9B6">
              <w:rPr>
                <w:rFonts w:asciiTheme="minorHAnsi" w:hAnsiTheme="minorHAnsi"/>
                <w:b/>
                <w:bCs/>
                <w:snapToGrid w:val="0"/>
                <w:sz w:val="22"/>
                <w:szCs w:val="22"/>
              </w:rPr>
              <w:t>9</w:t>
            </w:r>
            <w:r w:rsidRPr="2920B9B6">
              <w:rPr>
                <w:rFonts w:asciiTheme="minorHAnsi" w:hAnsiTheme="minorHAnsi"/>
                <w:b/>
                <w:bCs/>
                <w:snapToGrid w:val="0"/>
                <w:sz w:val="22"/>
                <w:szCs w:val="22"/>
              </w:rPr>
              <w:t>308 (CV8)</w:t>
            </w:r>
            <w:r w:rsidRPr="34955BD5">
              <w:rPr>
                <w:rFonts w:asciiTheme="minorHAnsi" w:hAnsiTheme="minorHAnsi"/>
                <w:snapToGrid w:val="0"/>
                <w:sz w:val="22"/>
                <w:szCs w:val="22"/>
              </w:rPr>
              <w:t xml:space="preserve"> - Nově vytvořená lůžka pro pacienty s COVID</w:t>
            </w:r>
            <w:r w:rsidR="76AC4AEF" w:rsidRPr="2920B9B6">
              <w:rPr>
                <w:rFonts w:asciiTheme="minorHAnsi" w:hAnsiTheme="minorHAnsi"/>
                <w:sz w:val="22"/>
                <w:szCs w:val="22"/>
              </w:rPr>
              <w:t>-</w:t>
            </w:r>
            <w:r w:rsidRPr="34955BD5">
              <w:rPr>
                <w:rFonts w:asciiTheme="minorHAnsi" w:hAnsiTheme="minorHAnsi"/>
                <w:snapToGrid w:val="0"/>
                <w:sz w:val="22"/>
                <w:szCs w:val="22"/>
              </w:rPr>
              <w:t>19,</w:t>
            </w:r>
          </w:p>
          <w:p w14:paraId="1BF7388D" w14:textId="0126962B"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lastRenderedPageBreak/>
              <w:t>99302 (CV2)</w:t>
            </w:r>
            <w:r w:rsidRPr="2920B9B6">
              <w:rPr>
                <w:rFonts w:asciiTheme="minorHAnsi" w:hAnsiTheme="minorHAnsi"/>
                <w:snapToGrid w:val="0"/>
                <w:sz w:val="22"/>
                <w:szCs w:val="22"/>
              </w:rPr>
              <w:t xml:space="preserve"> - Hodnota pořízené zdravotnického vybavení,</w:t>
            </w:r>
          </w:p>
          <w:p w14:paraId="3A121CB7" w14:textId="4EBEB74F"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79AEB03B"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290DFD9A"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646B26" w:rsidR="004F2303" w:rsidRPr="00C669A5" w:rsidRDefault="004F2303" w:rsidP="253D0146">
            <w:pPr>
              <w:pStyle w:val="Default"/>
              <w:spacing w:after="120"/>
              <w:jc w:val="both"/>
              <w:rPr>
                <w:rFonts w:asciiTheme="minorHAnsi" w:hAnsiTheme="minorHAnsi"/>
                <w:sz w:val="22"/>
                <w:szCs w:val="22"/>
              </w:rPr>
            </w:pPr>
            <w:r w:rsidRPr="253D0146">
              <w:rPr>
                <w:rFonts w:asciiTheme="minorHAnsi" w:hAnsiTheme="minorHAnsi"/>
                <w:snapToGrid w:val="0"/>
                <w:sz w:val="22"/>
                <w:szCs w:val="22"/>
              </w:rPr>
              <w:t>Neudržení cílové hodnoty indikátor</w:t>
            </w:r>
            <w:r w:rsidR="619A3BE2"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05EC5DF9"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05EC5DF9"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77777777" w:rsidR="00DE695E" w:rsidRPr="00C669A5" w:rsidRDefault="00313269"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maximálně </w:t>
            </w:r>
            <w:r w:rsidR="66E5214E" w:rsidRPr="34955BD5">
              <w:rPr>
                <w:rFonts w:asciiTheme="minorHAnsi" w:hAnsiTheme="minorHAnsi"/>
                <w:snapToGrid w:val="0"/>
                <w:sz w:val="22"/>
                <w:szCs w:val="22"/>
              </w:rPr>
              <w:t xml:space="preserve">však </w:t>
            </w:r>
            <w:r w:rsidR="3108D251" w:rsidRPr="34955BD5">
              <w:rPr>
                <w:rFonts w:asciiTheme="minorHAnsi" w:hAnsiTheme="minorHAnsi"/>
                <w:snapToGrid w:val="0"/>
                <w:sz w:val="22"/>
                <w:szCs w:val="22"/>
              </w:rPr>
              <w:t>o 10 000,- 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 xml:space="preserve">ajících vliv na realizaci projektu, především pak povinnost informovat o jakýchkoli </w:t>
            </w:r>
            <w:r w:rsidR="00E75264" w:rsidRPr="00C669A5">
              <w:rPr>
                <w:rFonts w:asciiTheme="minorHAnsi" w:hAnsiTheme="minorHAnsi"/>
                <w:snapToGrid w:val="0"/>
                <w:sz w:val="22"/>
                <w:szCs w:val="22"/>
              </w:rPr>
              <w:lastRenderedPageBreak/>
              <w:t>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uskutečněné příjmy a výdaje jsou vedeny s jednoznačnou vazbou k příslušnému </w:t>
            </w:r>
            <w:r w:rsidRPr="00C669A5">
              <w:rPr>
                <w:rFonts w:asciiTheme="minorHAnsi" w:hAnsiTheme="minorHAnsi"/>
                <w:snapToGrid w:val="0"/>
                <w:sz w:val="22"/>
                <w:szCs w:val="22"/>
              </w:rPr>
              <w:lastRenderedPageBreak/>
              <w:t>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 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t>19.</w:t>
            </w:r>
          </w:p>
        </w:tc>
        <w:tc>
          <w:tcPr>
            <w:tcW w:w="3574" w:type="dxa"/>
          </w:tcPr>
          <w:p w14:paraId="2C937557" w14:textId="02080FB5"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 xml:space="preserve">ýt pověřen k výkonu SOHZ v souladu s Rozhodnutím 2012/21/EU </w:t>
            </w:r>
            <w:r w:rsidR="00A63BDF">
              <w:rPr>
                <w:rFonts w:asciiTheme="minorHAnsi" w:hAnsiTheme="minorHAnsi"/>
                <w:sz w:val="22"/>
                <w:szCs w:val="22"/>
              </w:rPr>
              <w:t>po celou dobu životnosti investice</w:t>
            </w:r>
            <w:r w:rsidR="08554C92" w:rsidRPr="007E041D">
              <w:rPr>
                <w:rFonts w:asciiTheme="minorHAnsi" w:hAnsiTheme="minorHAnsi"/>
                <w:sz w:val="22"/>
                <w:szCs w:val="22"/>
              </w:rPr>
              <w:t>.</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lastRenderedPageBreak/>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Nařízení 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44977C02" w:rsidR="002F2F4B" w:rsidRPr="00C669A5"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01E6418C"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BE1D53">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24FC2D55"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lastRenderedPageBreak/>
        <w:t xml:space="preserve">Příjemce dotace jako poskytovatel SOHZ musí být pověřen k výkonu SOHZ v souladu s Rozhodnutím 2012/21/EU </w:t>
      </w:r>
      <w:r w:rsidR="002D4DAD">
        <w:rPr>
          <w:rFonts w:ascii="Calibri" w:eastAsia="Calibri" w:hAnsi="Calibri" w:cs="Calibri"/>
          <w:color w:val="000000" w:themeColor="text1"/>
        </w:rPr>
        <w:t>po celou dobu životnosti inve</w:t>
      </w:r>
      <w:r w:rsidR="00054A53">
        <w:rPr>
          <w:rFonts w:ascii="Calibri" w:eastAsia="Calibri" w:hAnsi="Calibri" w:cs="Calibri"/>
          <w:color w:val="000000" w:themeColor="text1"/>
        </w:rPr>
        <w:t>s</w:t>
      </w:r>
      <w:r w:rsidR="002D4DAD">
        <w:rPr>
          <w:rFonts w:ascii="Calibri" w:eastAsia="Calibri" w:hAnsi="Calibri" w:cs="Calibri"/>
          <w:color w:val="000000" w:themeColor="text1"/>
        </w:rPr>
        <w:t>tice</w:t>
      </w:r>
      <w:r w:rsidRPr="356EDD3C">
        <w:rPr>
          <w:rFonts w:ascii="Calibri" w:eastAsia="Calibri" w:hAnsi="Calibri" w:cs="Calibri"/>
          <w:color w:val="000000" w:themeColor="text1"/>
        </w:rPr>
        <w:t>.</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19A924AD"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 xml:space="preserve">Příjemce dotace bere na vědomí, že Evropská komise může uložit příjemci navrácení veřejné podpory spolu s příslušným úrokem zpět poskytovateli, pokud shledá, že poskytnutá dotace představuje </w:t>
      </w:r>
      <w:r w:rsidR="002D4DAD">
        <w:rPr>
          <w:rFonts w:ascii="Calibri" w:eastAsia="Calibri" w:hAnsi="Calibri" w:cs="Calibri"/>
          <w:color w:val="000000" w:themeColor="text1"/>
        </w:rPr>
        <w:t xml:space="preserve">protiprávní veřejnou podporu </w:t>
      </w:r>
      <w:r w:rsidRPr="356EDD3C">
        <w:rPr>
          <w:rFonts w:ascii="Calibri" w:eastAsia="Calibri" w:hAnsi="Calibri" w:cs="Calibri"/>
          <w:color w:val="000000" w:themeColor="text1"/>
        </w:rPr>
        <w:t>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584F79B8"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B0E9E">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B0E9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1188DC8"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B0E9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B0E9E">
            <w:rPr>
              <w:rFonts w:ascii="Arial" w:hAnsi="Arial" w:cs="Arial"/>
              <w:noProof/>
              <w:sz w:val="20"/>
            </w:rPr>
            <w:t>13</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4A53"/>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699"/>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4DAD"/>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9E2"/>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6440"/>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0E9E"/>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BDF"/>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1D53"/>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481A8-F94A-4612-AD83-403170225F2B}">
  <ds:schemaRefs>
    <ds:schemaRef ds:uri="http://schemas.openxmlformats.org/officeDocument/2006/bibliography"/>
  </ds:schemaRefs>
</ds:datastoreItem>
</file>

<file path=customXml/itemProps10.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1.xml><?xml version="1.0" encoding="utf-8"?>
<ds:datastoreItem xmlns:ds="http://schemas.openxmlformats.org/officeDocument/2006/customXml" ds:itemID="{15E905CF-5C49-4A06-A059-69795DA9B955}">
  <ds:schemaRefs>
    <ds:schemaRef ds:uri="http://schemas.openxmlformats.org/officeDocument/2006/bibliography"/>
  </ds:schemaRefs>
</ds:datastoreItem>
</file>

<file path=customXml/itemProps12.xml><?xml version="1.0" encoding="utf-8"?>
<ds:datastoreItem xmlns:ds="http://schemas.openxmlformats.org/officeDocument/2006/customXml" ds:itemID="{CCA13DF6-3078-4508-BD89-FAD79032B48B}">
  <ds:schemaRefs>
    <ds:schemaRef ds:uri="http://schemas.openxmlformats.org/officeDocument/2006/bibliography"/>
  </ds:schemaRefs>
</ds:datastoreItem>
</file>

<file path=customXml/itemProps13.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14.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6.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17.xml><?xml version="1.0" encoding="utf-8"?>
<ds:datastoreItem xmlns:ds="http://schemas.openxmlformats.org/officeDocument/2006/customXml" ds:itemID="{918C49D2-848D-4EA7-A58B-1E3866298DA2}">
  <ds:schemaRefs>
    <ds:schemaRef ds:uri="http://schemas.openxmlformats.org/officeDocument/2006/bibliography"/>
  </ds:schemaRefs>
</ds:datastoreItem>
</file>

<file path=customXml/itemProps18.xml><?xml version="1.0" encoding="utf-8"?>
<ds:datastoreItem xmlns:ds="http://schemas.openxmlformats.org/officeDocument/2006/customXml" ds:itemID="{9EA98095-5DD2-4850-A9B4-804433734A88}">
  <ds:schemaRefs>
    <ds:schemaRef ds:uri="http://schemas.openxmlformats.org/officeDocument/2006/bibliography"/>
  </ds:schemaRefs>
</ds:datastoreItem>
</file>

<file path=customXml/itemProps19.xml><?xml version="1.0" encoding="utf-8"?>
<ds:datastoreItem xmlns:ds="http://schemas.openxmlformats.org/officeDocument/2006/customXml" ds:itemID="{1F7F24BC-BC6D-4B1E-9C8B-9D5C15A690C3}">
  <ds:schemaRefs>
    <ds:schemaRef ds:uri="http://schemas.openxmlformats.org/officeDocument/2006/bibliography"/>
  </ds:schemaRefs>
</ds:datastoreItem>
</file>

<file path=customXml/itemProps2.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20.xml><?xml version="1.0" encoding="utf-8"?>
<ds:datastoreItem xmlns:ds="http://schemas.openxmlformats.org/officeDocument/2006/customXml" ds:itemID="{E98213D8-EDB0-4946-B17C-BA3F48C19889}">
  <ds:schemaRefs>
    <ds:schemaRef ds:uri="http://schemas.openxmlformats.org/officeDocument/2006/bibliography"/>
  </ds:schemaRefs>
</ds:datastoreItem>
</file>

<file path=customXml/itemProps21.xml><?xml version="1.0" encoding="utf-8"?>
<ds:datastoreItem xmlns:ds="http://schemas.openxmlformats.org/officeDocument/2006/customXml" ds:itemID="{4FB119B4-E811-4904-991E-D5993E034E38}">
  <ds:schemaRefs>
    <ds:schemaRef ds:uri="http://schemas.openxmlformats.org/officeDocument/2006/bibliography"/>
  </ds:schemaRefs>
</ds:datastoreItem>
</file>

<file path=customXml/itemProps22.xml><?xml version="1.0" encoding="utf-8"?>
<ds:datastoreItem xmlns:ds="http://schemas.openxmlformats.org/officeDocument/2006/customXml" ds:itemID="{52DF5FC2-697D-44D2-A1A1-8A246CD9EA63}">
  <ds:schemaRefs>
    <ds:schemaRef ds:uri="http://schemas.openxmlformats.org/officeDocument/2006/bibliography"/>
  </ds:schemaRefs>
</ds:datastoreItem>
</file>

<file path=customXml/itemProps23.xml><?xml version="1.0" encoding="utf-8"?>
<ds:datastoreItem xmlns:ds="http://schemas.openxmlformats.org/officeDocument/2006/customXml" ds:itemID="{27488DED-8912-4F9F-B3D6-3F24BBE3797E}">
  <ds:schemaRefs>
    <ds:schemaRef ds:uri="http://schemas.openxmlformats.org/officeDocument/2006/bibliography"/>
  </ds:schemaRefs>
</ds:datastoreItem>
</file>

<file path=customXml/itemProps24.xml><?xml version="1.0" encoding="utf-8"?>
<ds:datastoreItem xmlns:ds="http://schemas.openxmlformats.org/officeDocument/2006/customXml" ds:itemID="{08BD1054-73D4-4B31-95E2-F0F510A4A064}">
  <ds:schemaRefs>
    <ds:schemaRef ds:uri="http://schemas.openxmlformats.org/officeDocument/2006/bibliography"/>
  </ds:schemaRefs>
</ds:datastoreItem>
</file>

<file path=customXml/itemProps25.xml><?xml version="1.0" encoding="utf-8"?>
<ds:datastoreItem xmlns:ds="http://schemas.openxmlformats.org/officeDocument/2006/customXml" ds:itemID="{139F2A72-5AA1-4E60-99D8-29D3B8A7E7AB}">
  <ds:schemaRefs>
    <ds:schemaRef ds:uri="http://schemas.openxmlformats.org/officeDocument/2006/bibliography"/>
  </ds:schemaRefs>
</ds:datastoreItem>
</file>

<file path=customXml/itemProps3.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4.xml><?xml version="1.0" encoding="utf-8"?>
<ds:datastoreItem xmlns:ds="http://schemas.openxmlformats.org/officeDocument/2006/customXml" ds:itemID="{63083997-1E75-43F8-8D40-CACCBFE7D6D2}">
  <ds:schemaRefs>
    <ds:schemaRef ds:uri="http://schemas.openxmlformats.org/officeDocument/2006/bibliography"/>
  </ds:schemaRefs>
</ds:datastoreItem>
</file>

<file path=customXml/itemProps5.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6.xml><?xml version="1.0" encoding="utf-8"?>
<ds:datastoreItem xmlns:ds="http://schemas.openxmlformats.org/officeDocument/2006/customXml" ds:itemID="{13D68387-C585-49F7-926A-8BB2FC662829}">
  <ds:schemaRefs>
    <ds:schemaRef ds:uri="http://schemas.openxmlformats.org/officeDocument/2006/bibliography"/>
  </ds:schemaRefs>
</ds:datastoreItem>
</file>

<file path=customXml/itemProps7.xml><?xml version="1.0" encoding="utf-8"?>
<ds:datastoreItem xmlns:ds="http://schemas.openxmlformats.org/officeDocument/2006/customXml" ds:itemID="{D3FFB9D8-16A9-4D9D-8A12-94A3EC85012B}">
  <ds:schemaRefs>
    <ds:schemaRef ds:uri="http://schemas.openxmlformats.org/officeDocument/2006/bibliography"/>
  </ds:schemaRefs>
</ds:datastoreItem>
</file>

<file path=customXml/itemProps8.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3385</Words>
  <Characters>19462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19</cp:revision>
  <cp:lastPrinted>2014-05-14T09:54:00Z</cp:lastPrinted>
  <dcterms:created xsi:type="dcterms:W3CDTF">2021-02-16T08:37:00Z</dcterms:created>
  <dcterms:modified xsi:type="dcterms:W3CDTF">2021-06-30T09:32:00Z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